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BEAA2" w14:textId="77777777" w:rsidR="007C7479" w:rsidRDefault="006E4B3D">
      <w:pPr>
        <w:spacing w:after="0" w:line="240" w:lineRule="auto"/>
        <w:rPr>
          <w:rFonts w:ascii="Quattrocento Sans" w:eastAsia="Quattrocento Sans" w:hAnsi="Quattrocento Sans" w:cs="Quattrocento Sans"/>
          <w:sz w:val="18"/>
          <w:szCs w:val="18"/>
        </w:rPr>
      </w:pPr>
      <w:r>
        <w:rPr>
          <w:sz w:val="24"/>
          <w:szCs w:val="24"/>
        </w:rPr>
        <w:t> </w:t>
      </w:r>
    </w:p>
    <w:tbl>
      <w:tblPr>
        <w:tblStyle w:val="a"/>
        <w:tblW w:w="919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390"/>
        <w:gridCol w:w="1980"/>
        <w:gridCol w:w="3825"/>
      </w:tblGrid>
      <w:tr w:rsidR="007C7479" w14:paraId="15DCAE9B" w14:textId="77777777">
        <w:tc>
          <w:tcPr>
            <w:tcW w:w="3390" w:type="dxa"/>
            <w:tcBorders>
              <w:top w:val="nil"/>
              <w:left w:val="nil"/>
              <w:bottom w:val="single" w:sz="12" w:space="0" w:color="1F3864"/>
              <w:right w:val="nil"/>
            </w:tcBorders>
          </w:tcPr>
          <w:p w14:paraId="0AA90EAD" w14:textId="77777777" w:rsidR="007C7479" w:rsidRDefault="006E4B3D">
            <w:pPr>
              <w:spacing w:after="0" w:line="240" w:lineRule="auto"/>
              <w:rPr>
                <w:rFonts w:ascii="Times New Roman" w:eastAsia="Times New Roman" w:hAnsi="Times New Roman" w:cs="Times New Roman"/>
                <w:color w:val="0070C0"/>
                <w:sz w:val="24"/>
                <w:szCs w:val="24"/>
              </w:rPr>
            </w:pPr>
            <w:r>
              <w:rPr>
                <w:rFonts w:ascii="Arial" w:eastAsia="Arial" w:hAnsi="Arial" w:cs="Arial"/>
                <w:b/>
                <w:color w:val="0070C0"/>
              </w:rPr>
              <w:t>COMMUNIQUÉ DE PRESSE</w:t>
            </w:r>
            <w:r>
              <w:rPr>
                <w:rFonts w:ascii="Arial" w:eastAsia="Arial" w:hAnsi="Arial" w:cs="Arial"/>
                <w:color w:val="0070C0"/>
              </w:rPr>
              <w:t> </w:t>
            </w:r>
          </w:p>
        </w:tc>
        <w:tc>
          <w:tcPr>
            <w:tcW w:w="1980" w:type="dxa"/>
            <w:tcBorders>
              <w:top w:val="nil"/>
              <w:left w:val="nil"/>
              <w:bottom w:val="single" w:sz="12" w:space="0" w:color="1F3864"/>
              <w:right w:val="nil"/>
            </w:tcBorders>
          </w:tcPr>
          <w:p w14:paraId="63E4A9CD" w14:textId="77777777" w:rsidR="007C7479" w:rsidRDefault="006E4B3D">
            <w:pPr>
              <w:spacing w:after="0" w:line="240" w:lineRule="auto"/>
              <w:rPr>
                <w:rFonts w:ascii="Times New Roman" w:eastAsia="Times New Roman" w:hAnsi="Times New Roman" w:cs="Times New Roman"/>
                <w:color w:val="0070C0"/>
                <w:sz w:val="24"/>
                <w:szCs w:val="24"/>
              </w:rPr>
            </w:pPr>
            <w:r>
              <w:rPr>
                <w:rFonts w:ascii="Arial" w:eastAsia="Arial" w:hAnsi="Arial" w:cs="Arial"/>
                <w:color w:val="0070C0"/>
              </w:rPr>
              <w:t> </w:t>
            </w:r>
          </w:p>
        </w:tc>
        <w:tc>
          <w:tcPr>
            <w:tcW w:w="3825" w:type="dxa"/>
            <w:tcBorders>
              <w:top w:val="nil"/>
              <w:left w:val="nil"/>
              <w:bottom w:val="single" w:sz="12" w:space="0" w:color="1F3864"/>
              <w:right w:val="nil"/>
            </w:tcBorders>
          </w:tcPr>
          <w:p w14:paraId="514B62B7" w14:textId="77777777" w:rsidR="007C7479" w:rsidRDefault="006E4B3D">
            <w:pPr>
              <w:spacing w:after="0" w:line="240" w:lineRule="auto"/>
              <w:jc w:val="right"/>
              <w:rPr>
                <w:rFonts w:ascii="Times New Roman" w:eastAsia="Times New Roman" w:hAnsi="Times New Roman" w:cs="Times New Roman"/>
                <w:color w:val="0070C0"/>
                <w:sz w:val="24"/>
                <w:szCs w:val="24"/>
              </w:rPr>
            </w:pPr>
            <w:r>
              <w:rPr>
                <w:rFonts w:ascii="Arial" w:eastAsia="Arial" w:hAnsi="Arial" w:cs="Arial"/>
                <w:i/>
                <w:color w:val="0070C0"/>
              </w:rPr>
              <w:t>Pour diffusion immédiate</w:t>
            </w:r>
            <w:r>
              <w:rPr>
                <w:rFonts w:ascii="Arial" w:eastAsia="Arial" w:hAnsi="Arial" w:cs="Arial"/>
                <w:color w:val="0070C0"/>
              </w:rPr>
              <w:t> </w:t>
            </w:r>
          </w:p>
        </w:tc>
      </w:tr>
    </w:tbl>
    <w:p w14:paraId="43C1AA9A" w14:textId="06DAD31C" w:rsidR="001637A4" w:rsidRPr="001637A4" w:rsidRDefault="006E4B3D" w:rsidP="001637A4">
      <w:pPr>
        <w:spacing w:after="0" w:line="240" w:lineRule="auto"/>
        <w:rPr>
          <w:rFonts w:asciiTheme="majorHAnsi" w:eastAsia="Quattrocento Sans" w:hAnsiTheme="majorHAnsi" w:cstheme="majorHAnsi"/>
          <w:color w:val="0070C0"/>
          <w:sz w:val="24"/>
          <w:szCs w:val="24"/>
        </w:rPr>
      </w:pPr>
      <w:r>
        <w:rPr>
          <w:rFonts w:ascii="Arial" w:eastAsia="Arial" w:hAnsi="Arial" w:cs="Arial"/>
          <w:color w:val="0070C0"/>
          <w:sz w:val="21"/>
          <w:szCs w:val="21"/>
        </w:rPr>
        <w:t> </w:t>
      </w:r>
      <w:r>
        <w:rPr>
          <w:rFonts w:ascii="Arial" w:eastAsia="Arial" w:hAnsi="Arial" w:cs="Arial"/>
          <w:sz w:val="24"/>
          <w:szCs w:val="24"/>
        </w:rPr>
        <w:t> </w:t>
      </w:r>
    </w:p>
    <w:p w14:paraId="693D2A57" w14:textId="069E9A2D" w:rsidR="00FC2EA7" w:rsidRDefault="00C91EB9" w:rsidP="00C91EB9">
      <w:pPr>
        <w:spacing w:after="0" w:line="240" w:lineRule="auto"/>
        <w:jc w:val="center"/>
        <w:textAlignment w:val="baseline"/>
        <w:rPr>
          <w:rFonts w:ascii="Arial" w:eastAsia="Times New Roman" w:hAnsi="Arial" w:cs="Arial"/>
          <w:b/>
          <w:bCs/>
          <w:sz w:val="24"/>
          <w:szCs w:val="24"/>
          <w:lang w:eastAsia="fr-CA"/>
        </w:rPr>
      </w:pPr>
      <w:r>
        <w:rPr>
          <w:rFonts w:ascii="Arial" w:eastAsia="Times New Roman" w:hAnsi="Arial" w:cs="Arial"/>
          <w:b/>
          <w:bCs/>
          <w:sz w:val="24"/>
          <w:szCs w:val="24"/>
          <w:lang w:eastAsia="fr-CA"/>
        </w:rPr>
        <w:t xml:space="preserve">L’AJEFNB A COMPARU DEVANT LE COMITÉ PERMANENT DES LANGUES OFFICIELLES DE L’ASSEMBLÉE LÉGISLATIVE DU N.-B. </w:t>
      </w:r>
    </w:p>
    <w:p w14:paraId="03F38A90" w14:textId="77777777" w:rsidR="00C91EB9" w:rsidRPr="00A723A6" w:rsidRDefault="00C91EB9" w:rsidP="00C91EB9">
      <w:pPr>
        <w:spacing w:after="0" w:line="240" w:lineRule="auto"/>
        <w:jc w:val="center"/>
        <w:textAlignment w:val="baseline"/>
        <w:rPr>
          <w:rFonts w:ascii="Arial" w:eastAsia="Times New Roman" w:hAnsi="Arial" w:cs="Arial"/>
          <w:sz w:val="24"/>
          <w:szCs w:val="24"/>
          <w:lang w:eastAsia="fr-CA"/>
        </w:rPr>
      </w:pPr>
    </w:p>
    <w:p w14:paraId="2AD95D48" w14:textId="25F69BFD" w:rsidR="00A723A6" w:rsidRPr="00A723A6" w:rsidRDefault="00A723A6" w:rsidP="00A723A6">
      <w:pPr>
        <w:shd w:val="clear" w:color="auto" w:fill="FFFFFF"/>
        <w:spacing w:line="276" w:lineRule="atLeast"/>
        <w:jc w:val="both"/>
        <w:rPr>
          <w:rFonts w:ascii="Arial" w:eastAsia="Times New Roman" w:hAnsi="Arial" w:cs="Arial"/>
          <w:color w:val="000000"/>
          <w:sz w:val="24"/>
          <w:szCs w:val="24"/>
          <w:lang w:eastAsia="fr-CA"/>
        </w:rPr>
      </w:pPr>
      <w:r w:rsidRPr="00A723A6">
        <w:rPr>
          <w:rFonts w:ascii="Arial" w:eastAsia="Times New Roman" w:hAnsi="Arial" w:cs="Arial"/>
          <w:b/>
          <w:bCs/>
          <w:color w:val="000000"/>
          <w:sz w:val="24"/>
          <w:szCs w:val="24"/>
          <w:lang w:eastAsia="fr-CA"/>
        </w:rPr>
        <w:t xml:space="preserve">Moncton, le </w:t>
      </w:r>
      <w:r w:rsidR="00C91EB9">
        <w:rPr>
          <w:rFonts w:ascii="Arial" w:eastAsia="Times New Roman" w:hAnsi="Arial" w:cs="Arial"/>
          <w:b/>
          <w:bCs/>
          <w:color w:val="000000"/>
          <w:sz w:val="24"/>
          <w:szCs w:val="24"/>
          <w:lang w:eastAsia="fr-CA"/>
        </w:rPr>
        <w:t>22</w:t>
      </w:r>
      <w:r w:rsidRPr="00A723A6">
        <w:rPr>
          <w:rFonts w:ascii="Arial" w:eastAsia="Times New Roman" w:hAnsi="Arial" w:cs="Arial"/>
          <w:b/>
          <w:bCs/>
          <w:color w:val="000000"/>
          <w:sz w:val="24"/>
          <w:szCs w:val="24"/>
          <w:lang w:eastAsia="fr-CA"/>
        </w:rPr>
        <w:t xml:space="preserve"> </w:t>
      </w:r>
      <w:r w:rsidR="00BD0D5B">
        <w:rPr>
          <w:rFonts w:ascii="Arial" w:eastAsia="Times New Roman" w:hAnsi="Arial" w:cs="Arial"/>
          <w:b/>
          <w:bCs/>
          <w:color w:val="000000"/>
          <w:sz w:val="24"/>
          <w:szCs w:val="24"/>
          <w:lang w:eastAsia="fr-CA"/>
        </w:rPr>
        <w:t>mai</w:t>
      </w:r>
      <w:r w:rsidRPr="00A723A6">
        <w:rPr>
          <w:rFonts w:ascii="Arial" w:eastAsia="Times New Roman" w:hAnsi="Arial" w:cs="Arial"/>
          <w:b/>
          <w:bCs/>
          <w:color w:val="000000"/>
          <w:sz w:val="24"/>
          <w:szCs w:val="24"/>
          <w:lang w:eastAsia="fr-CA"/>
        </w:rPr>
        <w:t xml:space="preserve"> 2026 —</w:t>
      </w:r>
      <w:r w:rsidRPr="00A723A6">
        <w:rPr>
          <w:rFonts w:ascii="Arial" w:eastAsia="Times New Roman" w:hAnsi="Arial" w:cs="Arial"/>
          <w:color w:val="000000"/>
          <w:sz w:val="24"/>
          <w:szCs w:val="24"/>
          <w:lang w:eastAsia="fr-CA"/>
        </w:rPr>
        <w:t> L</w:t>
      </w:r>
      <w:r w:rsidR="00C91EB9">
        <w:rPr>
          <w:rFonts w:ascii="Arial" w:eastAsia="Times New Roman" w:hAnsi="Arial" w:cs="Arial"/>
          <w:color w:val="000000"/>
          <w:sz w:val="24"/>
          <w:szCs w:val="24"/>
          <w:lang w:eastAsia="fr-CA"/>
        </w:rPr>
        <w:t>e 20 mai dernier, l</w:t>
      </w:r>
      <w:r w:rsidRPr="00A723A6">
        <w:rPr>
          <w:rFonts w:ascii="Arial" w:eastAsia="Times New Roman" w:hAnsi="Arial" w:cs="Arial"/>
          <w:color w:val="000000"/>
          <w:sz w:val="24"/>
          <w:szCs w:val="24"/>
          <w:lang w:eastAsia="fr-CA"/>
        </w:rPr>
        <w:t>’Association des juristes d’expression française du Nouveau-Brunswick (</w:t>
      </w:r>
      <w:r w:rsidR="00C91EB9">
        <w:rPr>
          <w:rFonts w:ascii="Arial" w:eastAsia="Times New Roman" w:hAnsi="Arial" w:cs="Arial"/>
          <w:color w:val="000000"/>
          <w:sz w:val="24"/>
          <w:szCs w:val="24"/>
          <w:lang w:eastAsia="fr-CA"/>
        </w:rPr>
        <w:t>« </w:t>
      </w:r>
      <w:r w:rsidRPr="00A723A6">
        <w:rPr>
          <w:rFonts w:ascii="Arial" w:eastAsia="Times New Roman" w:hAnsi="Arial" w:cs="Arial"/>
          <w:color w:val="000000"/>
          <w:sz w:val="24"/>
          <w:szCs w:val="24"/>
          <w:lang w:eastAsia="fr-CA"/>
        </w:rPr>
        <w:t>AJEFNB</w:t>
      </w:r>
      <w:r w:rsidR="00C91EB9">
        <w:rPr>
          <w:rFonts w:ascii="Arial" w:eastAsia="Times New Roman" w:hAnsi="Arial" w:cs="Arial"/>
          <w:color w:val="000000"/>
          <w:sz w:val="24"/>
          <w:szCs w:val="24"/>
          <w:lang w:eastAsia="fr-CA"/>
        </w:rPr>
        <w:t> »</w:t>
      </w:r>
      <w:r w:rsidRPr="00A723A6">
        <w:rPr>
          <w:rFonts w:ascii="Arial" w:eastAsia="Times New Roman" w:hAnsi="Arial" w:cs="Arial"/>
          <w:color w:val="000000"/>
          <w:sz w:val="24"/>
          <w:szCs w:val="24"/>
          <w:lang w:eastAsia="fr-CA"/>
        </w:rPr>
        <w:t>)</w:t>
      </w:r>
      <w:r w:rsidR="00C91EB9">
        <w:rPr>
          <w:rFonts w:ascii="Arial" w:eastAsia="Times New Roman" w:hAnsi="Arial" w:cs="Arial"/>
          <w:color w:val="000000"/>
          <w:sz w:val="24"/>
          <w:szCs w:val="24"/>
          <w:lang w:eastAsia="fr-CA"/>
        </w:rPr>
        <w:t xml:space="preserve"> a comparu devant le Comité permanent des langues officielles de l’Assemblée législative du Nouveau-Brunswick dans le cadre de la révision de la </w:t>
      </w:r>
      <w:r w:rsidR="00C91EB9" w:rsidRPr="00C91EB9">
        <w:rPr>
          <w:rFonts w:ascii="Arial" w:eastAsia="Times New Roman" w:hAnsi="Arial" w:cs="Arial"/>
          <w:i/>
          <w:iCs/>
          <w:color w:val="000000"/>
          <w:sz w:val="24"/>
          <w:szCs w:val="24"/>
          <w:lang w:eastAsia="fr-CA"/>
        </w:rPr>
        <w:t>Loi sur les langues officielles</w:t>
      </w:r>
      <w:r w:rsidR="00C91EB9">
        <w:rPr>
          <w:rFonts w:ascii="Arial" w:eastAsia="Times New Roman" w:hAnsi="Arial" w:cs="Arial"/>
          <w:color w:val="000000"/>
          <w:sz w:val="24"/>
          <w:szCs w:val="24"/>
          <w:lang w:eastAsia="fr-CA"/>
        </w:rPr>
        <w:t xml:space="preserve"> (« </w:t>
      </w:r>
      <w:r w:rsidR="00C91EB9" w:rsidRPr="00C91EB9">
        <w:rPr>
          <w:rFonts w:ascii="Arial" w:eastAsia="Times New Roman" w:hAnsi="Arial" w:cs="Arial"/>
          <w:i/>
          <w:iCs/>
          <w:color w:val="000000"/>
          <w:sz w:val="24"/>
          <w:szCs w:val="24"/>
          <w:lang w:eastAsia="fr-CA"/>
        </w:rPr>
        <w:t>LLO</w:t>
      </w:r>
      <w:r w:rsidR="00C91EB9">
        <w:rPr>
          <w:rFonts w:ascii="Arial" w:eastAsia="Times New Roman" w:hAnsi="Arial" w:cs="Arial"/>
          <w:color w:val="000000"/>
          <w:sz w:val="24"/>
          <w:szCs w:val="24"/>
          <w:lang w:eastAsia="fr-CA"/>
        </w:rPr>
        <w:t xml:space="preserve"> ») du Nouveau-Brunswick. </w:t>
      </w:r>
    </w:p>
    <w:p w14:paraId="4B913AA0" w14:textId="25FAE08D" w:rsidR="00C91EB9" w:rsidRPr="00C91EB9" w:rsidRDefault="00C91EB9" w:rsidP="00A723A6">
      <w:pPr>
        <w:shd w:val="clear" w:color="auto" w:fill="FFFFFF"/>
        <w:spacing w:line="276" w:lineRule="atLeast"/>
        <w:jc w:val="both"/>
        <w:rPr>
          <w:rFonts w:ascii="Arial" w:eastAsia="Times New Roman" w:hAnsi="Arial" w:cs="Arial"/>
          <w:color w:val="000000"/>
          <w:sz w:val="24"/>
          <w:szCs w:val="24"/>
          <w:lang w:eastAsia="fr-CA"/>
        </w:rPr>
      </w:pPr>
      <w:r>
        <w:rPr>
          <w:rFonts w:ascii="Arial" w:eastAsia="Times New Roman" w:hAnsi="Arial" w:cs="Arial"/>
          <w:color w:val="000000"/>
          <w:sz w:val="24"/>
          <w:szCs w:val="24"/>
          <w:lang w:eastAsia="fr-CA"/>
        </w:rPr>
        <w:t xml:space="preserve">Lors de son allocution, l’AJEFNB a présenté et expliqué ses recommandations portant sur le Commissariat aux langues officielles du Nouveau-Brunswick (« CLONB »), la langue de travail ainsi </w:t>
      </w:r>
      <w:r w:rsidRPr="00C91EB9">
        <w:rPr>
          <w:rFonts w:ascii="Arial" w:eastAsia="Times New Roman" w:hAnsi="Arial" w:cs="Arial"/>
          <w:color w:val="000000"/>
          <w:sz w:val="24"/>
          <w:szCs w:val="24"/>
          <w:lang w:eastAsia="fr-CA"/>
        </w:rPr>
        <w:t xml:space="preserve">que l’administration de la justice. </w:t>
      </w:r>
    </w:p>
    <w:p w14:paraId="7635C1AB" w14:textId="45206A21" w:rsidR="00A723A6" w:rsidRPr="00C91EB9" w:rsidRDefault="00C91EB9" w:rsidP="00A723A6">
      <w:pPr>
        <w:shd w:val="clear" w:color="auto" w:fill="FFFFFF"/>
        <w:spacing w:line="276" w:lineRule="atLeast"/>
        <w:jc w:val="both"/>
        <w:rPr>
          <w:rFonts w:ascii="Arial" w:eastAsia="Times New Roman" w:hAnsi="Arial" w:cs="Arial"/>
          <w:color w:val="000000"/>
          <w:sz w:val="24"/>
          <w:szCs w:val="24"/>
          <w:lang w:eastAsia="fr-CA"/>
        </w:rPr>
      </w:pPr>
      <w:r w:rsidRPr="00C91EB9">
        <w:rPr>
          <w:rFonts w:ascii="Arial" w:eastAsia="Times New Roman" w:hAnsi="Arial" w:cs="Arial"/>
          <w:color w:val="000000"/>
          <w:sz w:val="24"/>
          <w:szCs w:val="24"/>
          <w:lang w:eastAsia="fr-CA"/>
        </w:rPr>
        <w:t>Les recommandations en lien avec CLONB visent à modifier la</w:t>
      </w:r>
      <w:r w:rsidRPr="00C91EB9">
        <w:rPr>
          <w:rFonts w:ascii="Arial" w:eastAsia="Times New Roman" w:hAnsi="Arial" w:cs="Arial"/>
          <w:i/>
          <w:iCs/>
          <w:color w:val="000000"/>
          <w:sz w:val="24"/>
          <w:szCs w:val="24"/>
          <w:lang w:eastAsia="fr-CA"/>
        </w:rPr>
        <w:t xml:space="preserve"> LLO</w:t>
      </w:r>
      <w:r w:rsidRPr="00C91EB9">
        <w:rPr>
          <w:rFonts w:ascii="Arial" w:eastAsia="Times New Roman" w:hAnsi="Arial" w:cs="Arial"/>
          <w:color w:val="000000"/>
          <w:sz w:val="24"/>
          <w:szCs w:val="24"/>
          <w:lang w:eastAsia="fr-CA"/>
        </w:rPr>
        <w:t xml:space="preserve"> afin d’ajouter des pouvoirs au commissaire aux langues officielles de la province et à mettre en place un mécanisme d’imputabilité quant aux rapports d’enquête et aux rapports annuels du CLO. Qui plus est, l’AJEFNB fait la recommandation d’ajouter une partie à la </w:t>
      </w:r>
      <w:r w:rsidRPr="00C91EB9">
        <w:rPr>
          <w:rFonts w:ascii="Arial" w:eastAsia="Times New Roman" w:hAnsi="Arial" w:cs="Arial"/>
          <w:i/>
          <w:iCs/>
          <w:color w:val="000000"/>
          <w:sz w:val="24"/>
          <w:szCs w:val="24"/>
          <w:lang w:eastAsia="fr-CA"/>
        </w:rPr>
        <w:t>LLO</w:t>
      </w:r>
      <w:r w:rsidRPr="00C91EB9">
        <w:rPr>
          <w:rFonts w:ascii="Arial" w:eastAsia="Times New Roman" w:hAnsi="Arial" w:cs="Arial"/>
          <w:color w:val="000000"/>
          <w:sz w:val="24"/>
          <w:szCs w:val="24"/>
          <w:lang w:eastAsia="fr-CA"/>
        </w:rPr>
        <w:t xml:space="preserve"> concernant la langue de travail afin de refléter la </w:t>
      </w:r>
      <w:r w:rsidRPr="00C91EB9">
        <w:rPr>
          <w:rFonts w:ascii="Arial" w:eastAsia="Times New Roman" w:hAnsi="Arial" w:cs="Arial"/>
          <w:i/>
          <w:iCs/>
          <w:color w:val="000000"/>
          <w:sz w:val="24"/>
          <w:szCs w:val="24"/>
          <w:lang w:eastAsia="fr-CA"/>
        </w:rPr>
        <w:t>Loi sur les langues officielles</w:t>
      </w:r>
      <w:r w:rsidRPr="00C91EB9">
        <w:rPr>
          <w:rFonts w:ascii="Arial" w:eastAsia="Times New Roman" w:hAnsi="Arial" w:cs="Arial"/>
          <w:color w:val="000000"/>
          <w:sz w:val="24"/>
          <w:szCs w:val="24"/>
          <w:lang w:eastAsia="fr-CA"/>
        </w:rPr>
        <w:t xml:space="preserve"> du Canada, et ainsi, permettre aux fonctionnaires provinciaux de travailler dans la langue de leur choix tout en ayant des outils pour y arriver. </w:t>
      </w:r>
      <w:r w:rsidRPr="00C91EB9">
        <w:rPr>
          <w:rFonts w:ascii="Arial" w:hAnsi="Arial" w:cs="Arial"/>
          <w:color w:val="303234"/>
          <w:sz w:val="24"/>
          <w:szCs w:val="24"/>
        </w:rPr>
        <w:t>Enfin, les recommandations concernant l’administration de la justice portent principalement sur la reconnaissance du fait que la version anglaise et française des décisions des tribunaux ont force égale dans la province, que les compétences linguistiques des candidats à la magistrature provinciale soient un facteur à prendre en compte dans les formulaires de candidature et que les décisions des tribunaux inférieurs soient publiées simultanément dans les deux langues officielles en vertu du paragraphe 24(</w:t>
      </w:r>
      <w:r>
        <w:rPr>
          <w:rFonts w:ascii="Arial" w:hAnsi="Arial" w:cs="Arial"/>
          <w:color w:val="303234"/>
          <w:sz w:val="24"/>
          <w:szCs w:val="24"/>
        </w:rPr>
        <w:t>1</w:t>
      </w:r>
      <w:r w:rsidRPr="00C91EB9">
        <w:rPr>
          <w:rFonts w:ascii="Arial" w:hAnsi="Arial" w:cs="Arial"/>
          <w:color w:val="303234"/>
          <w:sz w:val="24"/>
          <w:szCs w:val="24"/>
        </w:rPr>
        <w:t xml:space="preserve">) de la </w:t>
      </w:r>
      <w:r w:rsidRPr="00C91EB9">
        <w:rPr>
          <w:rFonts w:ascii="Arial" w:hAnsi="Arial" w:cs="Arial"/>
          <w:i/>
          <w:iCs/>
          <w:color w:val="303234"/>
          <w:sz w:val="24"/>
          <w:szCs w:val="24"/>
        </w:rPr>
        <w:t>LLO</w:t>
      </w:r>
      <w:r w:rsidRPr="00C91EB9">
        <w:rPr>
          <w:rFonts w:ascii="Arial" w:hAnsi="Arial" w:cs="Arial"/>
          <w:color w:val="303234"/>
          <w:sz w:val="24"/>
          <w:szCs w:val="24"/>
        </w:rPr>
        <w:t>.</w:t>
      </w:r>
    </w:p>
    <w:p w14:paraId="2DA86067" w14:textId="799325B7" w:rsidR="00C91EB9" w:rsidRDefault="00C91EB9" w:rsidP="00A723A6">
      <w:pPr>
        <w:shd w:val="clear" w:color="auto" w:fill="FFFFFF"/>
        <w:spacing w:line="276" w:lineRule="atLeast"/>
        <w:jc w:val="both"/>
        <w:rPr>
          <w:rFonts w:ascii="Arial" w:eastAsia="Times New Roman" w:hAnsi="Arial" w:cs="Arial"/>
          <w:color w:val="000000"/>
          <w:sz w:val="24"/>
          <w:szCs w:val="24"/>
          <w:lang w:eastAsia="fr-CA"/>
        </w:rPr>
      </w:pPr>
      <w:r w:rsidRPr="00C91EB9">
        <w:rPr>
          <w:rFonts w:ascii="Arial" w:hAnsi="Arial" w:cs="Arial"/>
          <w:color w:val="303234"/>
          <w:sz w:val="24"/>
          <w:szCs w:val="24"/>
        </w:rPr>
        <w:t>Lors de sa comparution, l’AJEFNB a profité de l’occasion pour répondre aux questions des membres du Comité et pour éclairer les enjeux linguistiques de la profession juridique.</w:t>
      </w:r>
      <w:r>
        <w:rPr>
          <w:rFonts w:ascii="Arial" w:hAnsi="Arial" w:cs="Arial"/>
          <w:color w:val="303234"/>
          <w:sz w:val="24"/>
          <w:szCs w:val="24"/>
        </w:rPr>
        <w:t xml:space="preserve"> </w:t>
      </w:r>
      <w:r>
        <w:rPr>
          <w:rFonts w:ascii="Arial" w:eastAsia="Times New Roman" w:hAnsi="Arial" w:cs="Arial"/>
          <w:color w:val="000000"/>
          <w:sz w:val="24"/>
          <w:szCs w:val="24"/>
          <w:lang w:eastAsia="fr-CA"/>
        </w:rPr>
        <w:t xml:space="preserve">L’AJEFNB estime que les échanges ont été constructifs et est enthousiasme pour les prochaines étapes du processus de révision de la </w:t>
      </w:r>
      <w:r w:rsidRPr="00C91EB9">
        <w:rPr>
          <w:rFonts w:ascii="Arial" w:eastAsia="Times New Roman" w:hAnsi="Arial" w:cs="Arial"/>
          <w:i/>
          <w:iCs/>
          <w:color w:val="000000"/>
          <w:sz w:val="24"/>
          <w:szCs w:val="24"/>
          <w:lang w:eastAsia="fr-CA"/>
        </w:rPr>
        <w:t>LLO</w:t>
      </w:r>
      <w:r>
        <w:rPr>
          <w:rFonts w:ascii="Arial" w:eastAsia="Times New Roman" w:hAnsi="Arial" w:cs="Arial"/>
          <w:color w:val="000000"/>
          <w:sz w:val="24"/>
          <w:szCs w:val="24"/>
          <w:lang w:eastAsia="fr-CA"/>
        </w:rPr>
        <w:t xml:space="preserve"> qui, elle, devrait être menée à terme d’ici le 31 décembre 2026. </w:t>
      </w:r>
    </w:p>
    <w:p w14:paraId="5A39BBE3" w14:textId="77777777" w:rsidR="007C7479" w:rsidRPr="00A723A6" w:rsidRDefault="007C7479">
      <w:pPr>
        <w:spacing w:after="0" w:line="240" w:lineRule="auto"/>
        <w:jc w:val="both"/>
        <w:rPr>
          <w:rFonts w:ascii="Arial" w:eastAsia="Arial" w:hAnsi="Arial" w:cs="Arial"/>
          <w:sz w:val="24"/>
          <w:szCs w:val="24"/>
        </w:rPr>
      </w:pPr>
    </w:p>
    <w:p w14:paraId="2FA5D54B" w14:textId="77777777" w:rsidR="007C7479" w:rsidRPr="00A723A6" w:rsidRDefault="006E4B3D">
      <w:pPr>
        <w:spacing w:after="0" w:line="240" w:lineRule="auto"/>
        <w:jc w:val="center"/>
        <w:rPr>
          <w:rFonts w:ascii="Arial" w:eastAsia="Quattrocento Sans" w:hAnsi="Arial" w:cs="Arial"/>
          <w:sz w:val="24"/>
          <w:szCs w:val="24"/>
        </w:rPr>
      </w:pPr>
      <w:r w:rsidRPr="00A723A6">
        <w:rPr>
          <w:rFonts w:ascii="Arial" w:eastAsia="Arial" w:hAnsi="Arial" w:cs="Arial"/>
          <w:b/>
          <w:sz w:val="24"/>
          <w:szCs w:val="24"/>
        </w:rPr>
        <w:t>-30-</w:t>
      </w:r>
      <w:r w:rsidRPr="00A723A6">
        <w:rPr>
          <w:rFonts w:ascii="Arial" w:eastAsia="Arial" w:hAnsi="Arial" w:cs="Arial"/>
          <w:sz w:val="24"/>
          <w:szCs w:val="24"/>
        </w:rPr>
        <w:t> </w:t>
      </w:r>
    </w:p>
    <w:sectPr w:rsidR="007C7479" w:rsidRPr="00A723A6">
      <w:headerReference w:type="default" r:id="rId6"/>
      <w:footerReference w:type="default" r:id="rId7"/>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5B003" w14:textId="77777777" w:rsidR="00322638" w:rsidRDefault="00322638">
      <w:pPr>
        <w:spacing w:after="0" w:line="240" w:lineRule="auto"/>
      </w:pPr>
      <w:r>
        <w:separator/>
      </w:r>
    </w:p>
  </w:endnote>
  <w:endnote w:type="continuationSeparator" w:id="0">
    <w:p w14:paraId="7895BF2A" w14:textId="77777777" w:rsidR="00322638" w:rsidRDefault="00322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EE5CE5C-D9B4-B44D-AE62-8A5B3B49B3A1}"/>
    <w:embedBold r:id="rId2" w:fontKey="{549C2C09-9B0D-ED47-9893-B36E661C716E}"/>
    <w:embedItalic r:id="rId3" w:fontKey="{22292FD1-6F3A-4E48-B9D7-38490FDB023C}"/>
  </w:font>
  <w:font w:name="Times New Roman">
    <w:panose1 w:val="02020603050405020304"/>
    <w:charset w:val="00"/>
    <w:family w:val="roman"/>
    <w:pitch w:val="variable"/>
    <w:sig w:usb0="E0002EFF" w:usb1="C000785B" w:usb2="00000009" w:usb3="00000000" w:csb0="000001FF" w:csb1="00000000"/>
    <w:embedRegular r:id="rId4" w:fontKey="{A9135893-0332-0040-BEC3-507E8CD8327F}"/>
    <w:embedBold r:id="rId5" w:fontKey="{ECC1262A-60CF-2849-8A79-966A1C9BD630}"/>
    <w:embedItalic r:id="rId6" w:fontKey="{2D515AF9-A3AB-154B-AAC3-C0F060B50A69}"/>
  </w:font>
  <w:font w:name="Georgia">
    <w:panose1 w:val="02040502050405020303"/>
    <w:charset w:val="00"/>
    <w:family w:val="roman"/>
    <w:pitch w:val="variable"/>
    <w:sig w:usb0="00000287" w:usb1="00000000" w:usb2="00000000" w:usb3="00000000" w:csb0="0000009F" w:csb1="00000000"/>
    <w:embedRegular r:id="rId7" w:fontKey="{A9E6B337-3179-A840-B2DB-BB880073EB8E}"/>
    <w:embedItalic r:id="rId8" w:fontKey="{399682EF-F7CB-1F44-87AE-C78ACAC66DAB}"/>
  </w:font>
  <w:font w:name="Quattrocento Sans">
    <w:panose1 w:val="020B0502050000020003"/>
    <w:charset w:val="00"/>
    <w:family w:val="swiss"/>
    <w:pitch w:val="variable"/>
    <w:sig w:usb0="800000BF" w:usb1="4000005B" w:usb2="00000000" w:usb3="00000000" w:csb0="00000001" w:csb1="00000000"/>
    <w:embedRegular r:id="rId9" w:fontKey="{BEF7DA12-0992-C14A-B3FD-BCD3A895CDD1}"/>
  </w:font>
  <w:font w:name="Arial">
    <w:panose1 w:val="020B0604020202020204"/>
    <w:charset w:val="00"/>
    <w:family w:val="swiss"/>
    <w:pitch w:val="variable"/>
    <w:sig w:usb0="E0002EFF" w:usb1="C000785B" w:usb2="00000009" w:usb3="00000000" w:csb0="000001FF" w:csb1="00000000"/>
    <w:embedRegular r:id="rId10" w:fontKey="{F0B74263-C0AA-6142-805B-A323C44C13C9}"/>
    <w:embedBold r:id="rId11" w:fontKey="{4D1A2E21-178F-7745-BF24-A260A6164B87}"/>
    <w:embedItalic r:id="rId12" w:fontKey="{14009F92-1B8A-B54B-9CFF-2AC738632A54}"/>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3" w:fontKey="{A500ED6D-BDF6-0349-81BF-E9C3CA7D57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318D" w14:textId="77777777" w:rsidR="007C7479" w:rsidRDefault="006E4B3D">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color w:val="4F81BD"/>
        <w:sz w:val="18"/>
        <w:szCs w:val="18"/>
      </w:rPr>
      <w:t> </w:t>
    </w:r>
  </w:p>
  <w:tbl>
    <w:tblPr>
      <w:tblStyle w:val="a0"/>
      <w:tblW w:w="936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556"/>
      <w:gridCol w:w="5812"/>
    </w:tblGrid>
    <w:tr w:rsidR="007C7479" w14:paraId="55F75864" w14:textId="77777777">
      <w:trPr>
        <w:trHeight w:val="471"/>
      </w:trPr>
      <w:tc>
        <w:tcPr>
          <w:tcW w:w="3556" w:type="dxa"/>
          <w:tcBorders>
            <w:top w:val="nil"/>
            <w:left w:val="nil"/>
            <w:bottom w:val="nil"/>
            <w:right w:val="nil"/>
          </w:tcBorders>
        </w:tcPr>
        <w:p w14:paraId="60D42C80" w14:textId="77777777" w:rsidR="007C7479" w:rsidRDefault="006E4B3D">
          <w:pPr>
            <w:pBdr>
              <w:top w:val="nil"/>
              <w:left w:val="nil"/>
              <w:bottom w:val="nil"/>
              <w:right w:val="nil"/>
              <w:between w:val="nil"/>
            </w:pBdr>
            <w:spacing w:after="0" w:line="240" w:lineRule="auto"/>
            <w:rPr>
              <w:rFonts w:ascii="Arial" w:eastAsia="Arial" w:hAnsi="Arial" w:cs="Arial"/>
              <w:color w:val="0070C0"/>
              <w:sz w:val="18"/>
              <w:szCs w:val="18"/>
            </w:rPr>
          </w:pPr>
          <w:r>
            <w:rPr>
              <w:rFonts w:ascii="Arial" w:eastAsia="Arial" w:hAnsi="Arial" w:cs="Arial"/>
              <w:color w:val="0070C0"/>
              <w:sz w:val="18"/>
              <w:szCs w:val="18"/>
            </w:rPr>
            <w:t xml:space="preserve">18, av. Antonine-Maillet </w:t>
          </w:r>
        </w:p>
        <w:p w14:paraId="36A10854" w14:textId="77777777" w:rsidR="007C7479" w:rsidRDefault="006E4B3D">
          <w:pPr>
            <w:pBdr>
              <w:top w:val="nil"/>
              <w:left w:val="nil"/>
              <w:bottom w:val="nil"/>
              <w:right w:val="nil"/>
              <w:between w:val="nil"/>
            </w:pBdr>
            <w:spacing w:after="0" w:line="240" w:lineRule="auto"/>
            <w:rPr>
              <w:rFonts w:ascii="Arial" w:eastAsia="Arial" w:hAnsi="Arial" w:cs="Arial"/>
              <w:color w:val="0070C0"/>
              <w:sz w:val="18"/>
              <w:szCs w:val="18"/>
            </w:rPr>
          </w:pPr>
          <w:r>
            <w:rPr>
              <w:rFonts w:ascii="Arial" w:eastAsia="Arial" w:hAnsi="Arial" w:cs="Arial"/>
              <w:color w:val="0070C0"/>
              <w:sz w:val="18"/>
              <w:szCs w:val="18"/>
            </w:rPr>
            <w:t xml:space="preserve">Pavillon Adrien-J.-Cormier </w:t>
          </w:r>
        </w:p>
        <w:p w14:paraId="70144249" w14:textId="77777777" w:rsidR="007C7479" w:rsidRDefault="006E4B3D">
          <w:pPr>
            <w:pBdr>
              <w:top w:val="nil"/>
              <w:left w:val="nil"/>
              <w:bottom w:val="nil"/>
              <w:right w:val="nil"/>
              <w:between w:val="nil"/>
            </w:pBdr>
            <w:spacing w:after="0" w:line="240" w:lineRule="auto"/>
            <w:rPr>
              <w:rFonts w:ascii="Arial" w:eastAsia="Arial" w:hAnsi="Arial" w:cs="Arial"/>
              <w:color w:val="0070C0"/>
              <w:sz w:val="18"/>
              <w:szCs w:val="18"/>
            </w:rPr>
          </w:pPr>
          <w:r>
            <w:rPr>
              <w:rFonts w:ascii="Arial" w:eastAsia="Arial" w:hAnsi="Arial" w:cs="Arial"/>
              <w:color w:val="0070C0"/>
              <w:sz w:val="18"/>
              <w:szCs w:val="18"/>
            </w:rPr>
            <w:t xml:space="preserve">Université de Moncton </w:t>
          </w:r>
        </w:p>
        <w:p w14:paraId="3D0731A2" w14:textId="77777777" w:rsidR="007C7479" w:rsidRDefault="006E4B3D">
          <w:pPr>
            <w:pBdr>
              <w:top w:val="nil"/>
              <w:left w:val="nil"/>
              <w:bottom w:val="nil"/>
              <w:right w:val="nil"/>
              <w:between w:val="nil"/>
            </w:pBdr>
            <w:spacing w:after="0" w:line="240" w:lineRule="auto"/>
            <w:rPr>
              <w:rFonts w:ascii="Arial" w:eastAsia="Arial" w:hAnsi="Arial" w:cs="Arial"/>
              <w:color w:val="0070C0"/>
              <w:sz w:val="18"/>
              <w:szCs w:val="18"/>
            </w:rPr>
          </w:pPr>
          <w:r>
            <w:rPr>
              <w:rFonts w:ascii="Arial" w:eastAsia="Arial" w:hAnsi="Arial" w:cs="Arial"/>
              <w:color w:val="0070C0"/>
              <w:sz w:val="18"/>
              <w:szCs w:val="18"/>
            </w:rPr>
            <w:t>Moncton, N.-B.  E1A 3E9 </w:t>
          </w:r>
        </w:p>
        <w:p w14:paraId="41C8F396" w14:textId="77777777" w:rsidR="007C7479" w:rsidRDefault="007C7479">
          <w:pPr>
            <w:spacing w:after="0" w:line="240" w:lineRule="auto"/>
            <w:rPr>
              <w:rFonts w:ascii="Arial" w:eastAsia="Arial" w:hAnsi="Arial" w:cs="Arial"/>
              <w:color w:val="0070C0"/>
              <w:sz w:val="24"/>
              <w:szCs w:val="24"/>
            </w:rPr>
          </w:pPr>
        </w:p>
      </w:tc>
      <w:tc>
        <w:tcPr>
          <w:tcW w:w="5812" w:type="dxa"/>
          <w:tcBorders>
            <w:top w:val="nil"/>
            <w:left w:val="nil"/>
            <w:bottom w:val="nil"/>
            <w:right w:val="nil"/>
          </w:tcBorders>
        </w:tcPr>
        <w:p w14:paraId="5D1AA3D1" w14:textId="77777777" w:rsidR="007C7479" w:rsidRDefault="006E4B3D">
          <w:pPr>
            <w:pBdr>
              <w:top w:val="nil"/>
              <w:left w:val="nil"/>
              <w:bottom w:val="nil"/>
              <w:right w:val="nil"/>
              <w:between w:val="nil"/>
            </w:pBdr>
            <w:spacing w:after="0" w:line="240" w:lineRule="auto"/>
            <w:jc w:val="right"/>
            <w:rPr>
              <w:rFonts w:ascii="Arial" w:eastAsia="Arial" w:hAnsi="Arial" w:cs="Arial"/>
              <w:color w:val="0070C0"/>
              <w:sz w:val="18"/>
              <w:szCs w:val="18"/>
            </w:rPr>
          </w:pPr>
          <w:r>
            <w:rPr>
              <w:rFonts w:ascii="Arial" w:eastAsia="Arial" w:hAnsi="Arial" w:cs="Arial"/>
              <w:color w:val="0070C0"/>
              <w:sz w:val="18"/>
              <w:szCs w:val="18"/>
            </w:rPr>
            <w:t>(506) 853-4151 </w:t>
          </w:r>
        </w:p>
        <w:p w14:paraId="19F1FFE1" w14:textId="77777777" w:rsidR="007C7479" w:rsidRDefault="006E4B3D">
          <w:pPr>
            <w:pBdr>
              <w:top w:val="nil"/>
              <w:left w:val="nil"/>
              <w:bottom w:val="nil"/>
              <w:right w:val="nil"/>
              <w:between w:val="nil"/>
            </w:pBdr>
            <w:spacing w:after="0" w:line="240" w:lineRule="auto"/>
            <w:jc w:val="right"/>
            <w:rPr>
              <w:rFonts w:ascii="Arial" w:eastAsia="Arial" w:hAnsi="Arial" w:cs="Arial"/>
              <w:color w:val="0070C0"/>
              <w:sz w:val="18"/>
              <w:szCs w:val="18"/>
            </w:rPr>
          </w:pPr>
          <w:r>
            <w:rPr>
              <w:rFonts w:ascii="Arial" w:eastAsia="Arial" w:hAnsi="Arial" w:cs="Arial"/>
              <w:color w:val="0070C0"/>
              <w:sz w:val="18"/>
              <w:szCs w:val="18"/>
            </w:rPr>
            <w:t>www.ajefnb.nb.ca </w:t>
          </w:r>
        </w:p>
        <w:p w14:paraId="562AC4CA" w14:textId="77777777" w:rsidR="007C7479" w:rsidRDefault="006E4B3D">
          <w:pPr>
            <w:pBdr>
              <w:top w:val="nil"/>
              <w:left w:val="nil"/>
              <w:bottom w:val="nil"/>
              <w:right w:val="nil"/>
              <w:between w:val="nil"/>
            </w:pBdr>
            <w:spacing w:after="0" w:line="240" w:lineRule="auto"/>
            <w:jc w:val="right"/>
            <w:rPr>
              <w:rFonts w:ascii="Arial" w:eastAsia="Arial" w:hAnsi="Arial" w:cs="Arial"/>
              <w:color w:val="0070C0"/>
              <w:sz w:val="18"/>
              <w:szCs w:val="18"/>
            </w:rPr>
          </w:pPr>
          <w:r>
            <w:rPr>
              <w:rFonts w:ascii="Arial" w:eastAsia="Arial" w:hAnsi="Arial" w:cs="Arial"/>
              <w:color w:val="0070C0"/>
              <w:sz w:val="18"/>
              <w:szCs w:val="18"/>
            </w:rPr>
            <w:t>association@ajefnb.nb.ca </w:t>
          </w:r>
        </w:p>
        <w:p w14:paraId="72A3D3EC" w14:textId="77777777" w:rsidR="007C7479" w:rsidRDefault="007C7479">
          <w:pPr>
            <w:spacing w:after="0" w:line="240" w:lineRule="auto"/>
            <w:jc w:val="both"/>
            <w:rPr>
              <w:rFonts w:ascii="Arial" w:eastAsia="Arial" w:hAnsi="Arial" w:cs="Arial"/>
              <w:color w:val="0070C0"/>
              <w:sz w:val="24"/>
              <w:szCs w:val="24"/>
            </w:rPr>
          </w:pPr>
        </w:p>
      </w:tc>
    </w:tr>
  </w:tbl>
  <w:p w14:paraId="29D6B04F" w14:textId="77777777" w:rsidR="007C7479" w:rsidRDefault="006E4B3D">
    <w:pPr>
      <w:pBdr>
        <w:top w:val="nil"/>
        <w:left w:val="nil"/>
        <w:bottom w:val="nil"/>
        <w:right w:val="nil"/>
        <w:between w:val="nil"/>
      </w:pBdr>
      <w:spacing w:after="0" w:line="240" w:lineRule="auto"/>
      <w:jc w:val="right"/>
      <w:rPr>
        <w:rFonts w:ascii="Quattrocento Sans" w:eastAsia="Quattrocento Sans" w:hAnsi="Quattrocento Sans" w:cs="Quattrocento Sans"/>
        <w:color w:val="000000"/>
        <w:sz w:val="18"/>
        <w:szCs w:val="18"/>
      </w:rPr>
    </w:pPr>
    <w:r>
      <w:rPr>
        <w:rFonts w:ascii="Times New Roman" w:eastAsia="Times New Roman" w:hAnsi="Times New Roman" w:cs="Times New Roman"/>
        <w:color w:val="4F81BD"/>
        <w:sz w:val="18"/>
        <w:szCs w:val="18"/>
      </w:rPr>
      <w:t xml:space="preserve"> </w:t>
    </w:r>
  </w:p>
  <w:p w14:paraId="0D0B940D" w14:textId="77777777" w:rsidR="007C7479" w:rsidRDefault="007C747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6C6EC" w14:textId="77777777" w:rsidR="00322638" w:rsidRDefault="00322638">
      <w:pPr>
        <w:spacing w:after="0" w:line="240" w:lineRule="auto"/>
      </w:pPr>
      <w:r>
        <w:separator/>
      </w:r>
    </w:p>
  </w:footnote>
  <w:footnote w:type="continuationSeparator" w:id="0">
    <w:p w14:paraId="402BA24C" w14:textId="77777777" w:rsidR="00322638" w:rsidRDefault="00322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7C7479" w:rsidRDefault="006E4B3D">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4AA8E7F0" wp14:editId="07777777">
          <wp:extent cx="1893850" cy="127268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3850" cy="1272684"/>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479"/>
    <w:rsid w:val="00011596"/>
    <w:rsid w:val="00022232"/>
    <w:rsid w:val="00022421"/>
    <w:rsid w:val="00047037"/>
    <w:rsid w:val="000C513A"/>
    <w:rsid w:val="000F40FE"/>
    <w:rsid w:val="000F6E7C"/>
    <w:rsid w:val="00117A46"/>
    <w:rsid w:val="001353E9"/>
    <w:rsid w:val="0016254E"/>
    <w:rsid w:val="001637A4"/>
    <w:rsid w:val="001959E5"/>
    <w:rsid w:val="001C07F9"/>
    <w:rsid w:val="00247E56"/>
    <w:rsid w:val="002567D4"/>
    <w:rsid w:val="00261E4B"/>
    <w:rsid w:val="0026242D"/>
    <w:rsid w:val="002934FF"/>
    <w:rsid w:val="002D2B18"/>
    <w:rsid w:val="002F2CC5"/>
    <w:rsid w:val="00313598"/>
    <w:rsid w:val="00322638"/>
    <w:rsid w:val="00377219"/>
    <w:rsid w:val="003A0555"/>
    <w:rsid w:val="003A2E78"/>
    <w:rsid w:val="003C43C5"/>
    <w:rsid w:val="003C5F27"/>
    <w:rsid w:val="003D4F82"/>
    <w:rsid w:val="00427602"/>
    <w:rsid w:val="004331AB"/>
    <w:rsid w:val="004A25BD"/>
    <w:rsid w:val="004C0849"/>
    <w:rsid w:val="00555118"/>
    <w:rsid w:val="005629EB"/>
    <w:rsid w:val="005A0BBC"/>
    <w:rsid w:val="005C454B"/>
    <w:rsid w:val="005D20AC"/>
    <w:rsid w:val="005D5DED"/>
    <w:rsid w:val="005E0001"/>
    <w:rsid w:val="005E5109"/>
    <w:rsid w:val="00685F59"/>
    <w:rsid w:val="00687BB4"/>
    <w:rsid w:val="006E4B3D"/>
    <w:rsid w:val="0076148D"/>
    <w:rsid w:val="00766A02"/>
    <w:rsid w:val="007963B9"/>
    <w:rsid w:val="007C322B"/>
    <w:rsid w:val="007C7479"/>
    <w:rsid w:val="00841E18"/>
    <w:rsid w:val="0087402D"/>
    <w:rsid w:val="00885B13"/>
    <w:rsid w:val="00894F48"/>
    <w:rsid w:val="008B1E00"/>
    <w:rsid w:val="008B3F26"/>
    <w:rsid w:val="008E65F6"/>
    <w:rsid w:val="00902530"/>
    <w:rsid w:val="00902FCA"/>
    <w:rsid w:val="00942B9F"/>
    <w:rsid w:val="00961650"/>
    <w:rsid w:val="00995F2B"/>
    <w:rsid w:val="009C3F61"/>
    <w:rsid w:val="009E7C66"/>
    <w:rsid w:val="00A024CD"/>
    <w:rsid w:val="00A46A52"/>
    <w:rsid w:val="00A47E06"/>
    <w:rsid w:val="00A54123"/>
    <w:rsid w:val="00A576FE"/>
    <w:rsid w:val="00A6087C"/>
    <w:rsid w:val="00A723A6"/>
    <w:rsid w:val="00AF0BE7"/>
    <w:rsid w:val="00AF6096"/>
    <w:rsid w:val="00B44758"/>
    <w:rsid w:val="00B46604"/>
    <w:rsid w:val="00B5672E"/>
    <w:rsid w:val="00B70C5B"/>
    <w:rsid w:val="00B775D3"/>
    <w:rsid w:val="00BD0D5B"/>
    <w:rsid w:val="00C00EE5"/>
    <w:rsid w:val="00C55165"/>
    <w:rsid w:val="00C655FC"/>
    <w:rsid w:val="00C71664"/>
    <w:rsid w:val="00C71A39"/>
    <w:rsid w:val="00C91EB9"/>
    <w:rsid w:val="00C92882"/>
    <w:rsid w:val="00C97789"/>
    <w:rsid w:val="00CA175F"/>
    <w:rsid w:val="00CE17A3"/>
    <w:rsid w:val="00CF600D"/>
    <w:rsid w:val="00D05FFC"/>
    <w:rsid w:val="00D407B1"/>
    <w:rsid w:val="00D57417"/>
    <w:rsid w:val="00D826CD"/>
    <w:rsid w:val="00D82708"/>
    <w:rsid w:val="00DD7151"/>
    <w:rsid w:val="00DE44B1"/>
    <w:rsid w:val="00E005B8"/>
    <w:rsid w:val="00E43C2C"/>
    <w:rsid w:val="00E551CB"/>
    <w:rsid w:val="00E7647E"/>
    <w:rsid w:val="00E861D1"/>
    <w:rsid w:val="00EB5B76"/>
    <w:rsid w:val="00ED08EE"/>
    <w:rsid w:val="00FA656B"/>
    <w:rsid w:val="00FC2EA7"/>
    <w:rsid w:val="00FC3193"/>
    <w:rsid w:val="00FC6C9C"/>
    <w:rsid w:val="00FC7D67"/>
    <w:rsid w:val="00FD50AE"/>
    <w:rsid w:val="00FE1E8D"/>
    <w:rsid w:val="05410407"/>
    <w:rsid w:val="111A8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B2DEB"/>
  <w15:docId w15:val="{2D41D697-A1E6-45CB-960A-91AEC3D9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CA"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auNormal"/>
    <w:tblPr>
      <w:tblStyleRowBandSize w:val="1"/>
      <w:tblStyleColBandSize w:val="1"/>
      <w:tblCellMar>
        <w:left w:w="0" w:type="dxa"/>
        <w:right w:w="0" w:type="dxa"/>
      </w:tblCellMar>
    </w:tblPr>
  </w:style>
  <w:style w:type="table" w:customStyle="1" w:styleId="a0">
    <w:basedOn w:val="TableauNormal"/>
    <w:tblPr>
      <w:tblStyleRowBandSize w:val="1"/>
      <w:tblStyleColBandSize w:val="1"/>
      <w:tblCellMar>
        <w:left w:w="0" w:type="dxa"/>
        <w:right w:w="0" w:type="dxa"/>
      </w:tblCellMar>
    </w:tblPr>
  </w:style>
  <w:style w:type="paragraph" w:styleId="NormalWeb">
    <w:name w:val="Normal (Web)"/>
    <w:basedOn w:val="Normal"/>
    <w:uiPriority w:val="99"/>
    <w:unhideWhenUsed/>
    <w:rsid w:val="008E65F6"/>
    <w:pPr>
      <w:spacing w:before="100" w:beforeAutospacing="1" w:after="100" w:afterAutospacing="1" w:line="240" w:lineRule="auto"/>
    </w:pPr>
    <w:rPr>
      <w:rFonts w:ascii="Times New Roman" w:eastAsia="Times New Roman" w:hAnsi="Times New Roman" w:cs="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883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CACEA0-A7FD-6D41-9D0D-91F02BF54B50}">
  <we:reference id="wa200007559" version="12.2.0.0" store="fr-CA" storeType="OMEX"/>
  <we:alternateReferences>
    <we:reference id="wa200007559" version="12.2.0.0" store="" storeType="OMEX"/>
  </we:alternateReferences>
  <we:properties>
    <we:property name="AntidoteWordID" value="&quot;bbca94bf-c301-4e7e-bb31-480d248fb49c&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187</TotalTime>
  <Pages>1</Pages>
  <Words>338</Words>
  <Characters>1861</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Pascale Rioux-Doucet</cp:lastModifiedBy>
  <cp:revision>21</cp:revision>
  <cp:lastPrinted>2025-07-22T19:15:00Z</cp:lastPrinted>
  <dcterms:created xsi:type="dcterms:W3CDTF">2025-07-22T19:15:00Z</dcterms:created>
  <dcterms:modified xsi:type="dcterms:W3CDTF">2026-05-21T16:28:00Z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689301-32b1-463b-ba86-10202492460a_Enabled">
    <vt:lpwstr>true</vt:lpwstr>
  </property>
  <property fmtid="{D5CDD505-2E9C-101B-9397-08002B2CF9AE}" pid="3" name="MSIP_Label_d0689301-32b1-463b-ba86-10202492460a_SetDate">
    <vt:lpwstr>2025-02-04T18:24:59Z</vt:lpwstr>
  </property>
  <property fmtid="{D5CDD505-2E9C-101B-9397-08002B2CF9AE}" pid="4" name="MSIP_Label_d0689301-32b1-463b-ba86-10202492460a_Method">
    <vt:lpwstr>Standard</vt:lpwstr>
  </property>
  <property fmtid="{D5CDD505-2E9C-101B-9397-08002B2CF9AE}" pid="5" name="MSIP_Label_d0689301-32b1-463b-ba86-10202492460a_Name">
    <vt:lpwstr>defa4170-0d19-0005-0003-bc88714345d2</vt:lpwstr>
  </property>
  <property fmtid="{D5CDD505-2E9C-101B-9397-08002B2CF9AE}" pid="6" name="MSIP_Label_d0689301-32b1-463b-ba86-10202492460a_SiteId">
    <vt:lpwstr>810c295f-e817-4c4e-8996-9b66369b8012</vt:lpwstr>
  </property>
  <property fmtid="{D5CDD505-2E9C-101B-9397-08002B2CF9AE}" pid="7" name="MSIP_Label_d0689301-32b1-463b-ba86-10202492460a_ActionId">
    <vt:lpwstr>31e0665c-a722-450f-9108-3283af6c7914</vt:lpwstr>
  </property>
  <property fmtid="{D5CDD505-2E9C-101B-9397-08002B2CF9AE}" pid="8" name="MSIP_Label_d0689301-32b1-463b-ba86-10202492460a_ContentBits">
    <vt:lpwstr>0</vt:lpwstr>
  </property>
</Properties>
</file>